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6"/>
        </w:rPr>
      </w:pPr>
      <w:r>
        <w:rPr>
          <w:sz w:val="22"/>
        </w:rPr>
        <w:drawing>
          <wp:inline>
            <wp:extent cx="1066800" cy="7048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66800" cy="704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spacing w:line="240" w:lineRule="exact"/>
        <w:ind/>
        <w:jc w:val="center"/>
        <w:rPr>
          <w:sz w:val="26"/>
        </w:rPr>
      </w:pPr>
    </w:p>
    <w:p w14:paraId="03000000">
      <w:pPr>
        <w:widowControl w:val="1"/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ПРОКУРАТУРА </w:t>
      </w:r>
      <w:r>
        <w:rPr>
          <w:rFonts w:ascii="Times New Roman" w:hAnsi="Times New Roman"/>
          <w:b w:val="1"/>
        </w:rPr>
        <w:t>БОЛЬШЕИГНАТОВСКОГО</w:t>
      </w:r>
      <w:r>
        <w:rPr>
          <w:rFonts w:ascii="Times New Roman" w:hAnsi="Times New Roman"/>
          <w:b w:val="1"/>
        </w:rPr>
        <w:t xml:space="preserve"> РАЙОНА</w:t>
      </w:r>
      <w:r>
        <w:rPr>
          <w:rFonts w:ascii="Times New Roman" w:hAnsi="Times New Roman"/>
          <w:b w:val="1"/>
        </w:rPr>
        <w:t xml:space="preserve"> </w:t>
      </w:r>
    </w:p>
    <w:p w14:paraId="04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</w:p>
    <w:p w14:paraId="05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  <w:r>
        <w:rPr>
          <w:b w:val="1"/>
          <w:color w:val="000000"/>
          <w:sz w:val="26"/>
        </w:rPr>
        <w:t>ПРЕДУПРЕ</w:t>
      </w:r>
      <w:r>
        <w:rPr>
          <w:b w:val="1"/>
          <w:color w:val="000000"/>
          <w:sz w:val="26"/>
        </w:rPr>
        <w:t>ЖДАЕТ</w:t>
      </w:r>
      <w:r>
        <w:rPr>
          <w:b w:val="1"/>
          <w:color w:val="000000"/>
          <w:sz w:val="26"/>
        </w:rPr>
        <w:t>!</w:t>
      </w:r>
    </w:p>
    <w:p w14:paraId="06000000">
      <w:pPr>
        <w:widowControl w:val="1"/>
        <w:spacing w:line="240" w:lineRule="exact"/>
        <w:ind/>
        <w:jc w:val="center"/>
        <w:rPr>
          <w:sz w:val="26"/>
        </w:rPr>
      </w:pPr>
    </w:p>
    <w:p w14:paraId="07000000">
      <w:pPr>
        <w:widowControl w:val="1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drawing>
          <wp:inline>
            <wp:extent cx="2377440" cy="164592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37744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b w:val="1"/>
          <w:color w:val="000000"/>
          <w:sz w:val="38"/>
        </w:rPr>
      </w:pPr>
    </w:p>
    <w:p w14:paraId="09000000">
      <w:pPr>
        <w:widowControl w:val="1"/>
        <w:ind/>
        <w:jc w:val="center"/>
        <w:rPr>
          <w:b w:val="1"/>
          <w:color w:val="000000"/>
          <w:sz w:val="38"/>
        </w:rPr>
      </w:pPr>
      <w:r>
        <w:rPr>
          <w:b w:val="1"/>
          <w:color w:val="000000"/>
          <w:sz w:val="38"/>
        </w:rPr>
        <w:t xml:space="preserve">Экстремизм </w:t>
      </w:r>
      <w:r>
        <w:rPr>
          <w:b w:val="1"/>
          <w:color w:val="000000"/>
          <w:sz w:val="38"/>
        </w:rPr>
        <w:t>–</w:t>
      </w:r>
      <w:r>
        <w:rPr>
          <w:b w:val="1"/>
          <w:color w:val="000000"/>
          <w:sz w:val="38"/>
        </w:rPr>
        <w:t xml:space="preserve"> проблема </w:t>
      </w:r>
      <w:r>
        <w:rPr>
          <w:b w:val="1"/>
          <w:color w:val="000000"/>
          <w:sz w:val="38"/>
        </w:rPr>
        <w:t>современности.</w:t>
      </w:r>
    </w:p>
    <w:p w14:paraId="0A000000">
      <w:pPr>
        <w:widowControl w:val="1"/>
        <w:ind/>
        <w:jc w:val="center"/>
        <w:rPr>
          <w:b w:val="1"/>
          <w:color w:val="000000"/>
          <w:sz w:val="38"/>
        </w:rPr>
      </w:pPr>
    </w:p>
    <w:p w14:paraId="0B000000">
      <w:pPr>
        <w:widowControl w:val="1"/>
        <w:ind w:firstLine="397"/>
        <w:jc w:val="both"/>
        <w:rPr>
          <w:color w:val="000000"/>
        </w:rPr>
      </w:pPr>
      <w:r>
        <w:rPr>
          <w:color w:val="000000"/>
        </w:rPr>
        <w:t xml:space="preserve">В Российской Федерации </w:t>
      </w:r>
      <w:r>
        <w:rPr>
          <w:color w:val="000000"/>
        </w:rPr>
        <w:t>экстремистская деятельность</w:t>
      </w:r>
      <w:r>
        <w:rPr>
          <w:color w:val="000000"/>
        </w:rPr>
        <w:t xml:space="preserve"> находится под запретом, </w:t>
      </w:r>
      <w:r>
        <w:rPr>
          <w:color w:val="000000"/>
        </w:rPr>
        <w:br/>
      </w:r>
      <w:r>
        <w:rPr>
          <w:color w:val="000000"/>
        </w:rPr>
        <w:t xml:space="preserve">а соблюдение этого запрета – под строгим контролем. Подобная строгость обусловлена </w:t>
      </w:r>
      <w:r>
        <w:rPr>
          <w:color w:val="000000"/>
        </w:rPr>
        <w:br/>
      </w:r>
      <w:r>
        <w:rPr>
          <w:color w:val="000000"/>
        </w:rPr>
        <w:t xml:space="preserve">в том числе обширным многонациональным </w:t>
      </w:r>
      <w:r>
        <w:rPr>
          <w:color w:val="000000"/>
        </w:rPr>
        <w:br/>
      </w:r>
      <w:r>
        <w:rPr>
          <w:color w:val="000000"/>
        </w:rPr>
        <w:t>и многоконфессиональным составом нашего государства, что требует</w:t>
      </w:r>
      <w:r>
        <w:rPr>
          <w:color w:val="000000"/>
        </w:rPr>
        <w:t xml:space="preserve"> пристального внимания </w:t>
      </w:r>
      <w:r>
        <w:rPr>
          <w:color w:val="000000"/>
        </w:rPr>
        <w:br/>
      </w:r>
      <w:r>
        <w:rPr>
          <w:color w:val="000000"/>
        </w:rPr>
        <w:t xml:space="preserve">и необходимости быстрого реагирования </w:t>
      </w:r>
      <w:r>
        <w:rPr>
          <w:color w:val="000000"/>
        </w:rPr>
        <w:br/>
      </w:r>
      <w:r>
        <w:rPr>
          <w:color w:val="000000"/>
        </w:rPr>
        <w:t>на попытки отдельных лиц и организаций посеять рознь между народами и различными группами населения нашей страны. Противодействие экстремизму осуществляется на федеральном, региональном и местном</w:t>
      </w:r>
      <w:r>
        <w:rPr>
          <w:color w:val="000000"/>
        </w:rPr>
        <w:t xml:space="preserve"> уровнях</w:t>
      </w:r>
      <w:r>
        <w:rPr>
          <w:color w:val="000000"/>
        </w:rPr>
        <w:t>.</w:t>
      </w:r>
    </w:p>
    <w:p w14:paraId="0C000000">
      <w:pPr>
        <w:widowControl w:val="1"/>
        <w:spacing w:after="120" w:before="120"/>
        <w:ind w:firstLine="397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К </w:t>
      </w:r>
      <w:r>
        <w:rPr>
          <w:b w:val="1"/>
          <w:color w:val="000000"/>
        </w:rPr>
        <w:t>экстремистской деятельности</w:t>
      </w:r>
      <w:r>
        <w:rPr>
          <w:b w:val="1"/>
          <w:color w:val="000000"/>
        </w:rPr>
        <w:t xml:space="preserve"> относятся</w:t>
      </w:r>
      <w:r>
        <w:rPr>
          <w:b w:val="1"/>
          <w:color w:val="000000"/>
        </w:rPr>
        <w:t>:</w:t>
      </w:r>
    </w:p>
    <w:p w14:paraId="0D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>НАСИЛЬСТВЕННОЕ ИЗМЕНЕНИЕ ОСНОВ КОНСТИТУЦИОННОГ</w:t>
      </w:r>
      <w:r>
        <w:rPr>
          <w:b w:val="1"/>
          <w:color w:val="000000"/>
          <w:sz w:val="18"/>
        </w:rPr>
        <w:t>О СТРОЯ И НАРУШЕНИЕ ЦЕЛОСТНОСТИ РОССИЙСКОЙ ФЕДЕРАЦИИ</w:t>
      </w:r>
      <w:r>
        <w:rPr>
          <w:b w:val="1"/>
          <w:color w:val="000000"/>
          <w:sz w:val="18"/>
        </w:rPr>
        <w:t>;</w:t>
      </w:r>
    </w:p>
    <w:p w14:paraId="0E000000">
      <w:pPr>
        <w:widowControl w:val="1"/>
        <w:ind w:left="851"/>
        <w:jc w:val="both"/>
        <w:rPr>
          <w:b w:val="1"/>
          <w:color w:val="000000"/>
          <w:sz w:val="18"/>
        </w:rPr>
      </w:pPr>
    </w:p>
    <w:p w14:paraId="0F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>ПУБЛИЧНОЕ ОПРАВДАНИЕ</w:t>
      </w:r>
      <w:r>
        <w:rPr>
          <w:b w:val="1"/>
          <w:color w:val="000000"/>
          <w:sz w:val="18"/>
        </w:rPr>
        <w:t xml:space="preserve"> ТЕРРОРИЗМА И ИНАЯ ТЕРРОРИСТИЧЕСКАЯ ДЕЯТЕЛЬНОСТЬ</w:t>
      </w:r>
      <w:r>
        <w:rPr>
          <w:b w:val="1"/>
          <w:color w:val="000000"/>
          <w:sz w:val="18"/>
        </w:rPr>
        <w:t>;</w:t>
      </w:r>
    </w:p>
    <w:p w14:paraId="10000000">
      <w:pPr>
        <w:pStyle w:val="Style_1"/>
        <w:widowControl w:val="1"/>
        <w:ind/>
        <w:jc w:val="both"/>
        <w:rPr>
          <w:b w:val="1"/>
          <w:color w:val="000000"/>
          <w:sz w:val="18"/>
        </w:rPr>
      </w:pPr>
    </w:p>
    <w:p w14:paraId="11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>ВОЗБУЖДЕНИЕ СОЦИАЛЬНОЙ, РАСОВОЙ, НАЦИОНАЛЬНОЙ ИЛИ РЕЛИГИОЗНОЙ РОЗНИ;</w:t>
      </w:r>
    </w:p>
    <w:p w14:paraId="12000000">
      <w:pPr>
        <w:pStyle w:val="Style_1"/>
        <w:widowControl w:val="1"/>
        <w:ind/>
        <w:jc w:val="both"/>
        <w:rPr>
          <w:b w:val="1"/>
          <w:color w:val="000000"/>
          <w:sz w:val="18"/>
        </w:rPr>
      </w:pPr>
    </w:p>
    <w:p w14:paraId="13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>ПРОПАГАНДА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ИСКЛЮЧИТЕЛЬНОСТИ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ПРЕВОСХОДСТВА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ЛИБО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НЕПОЛНОЦЕННОСТИ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ЧЕЛОВЕКА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ПРИЗНАКУ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ЕГО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СОЦИАЛЬНОЙ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РАСОВОЙ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НАЦИОНАЛЬНОЙ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РЕ</w:t>
      </w:r>
      <w:r>
        <w:rPr>
          <w:b w:val="1"/>
          <w:color w:val="000000"/>
          <w:sz w:val="18"/>
        </w:rPr>
        <w:t>ЛИГИОЗНОЙ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ЯЗЫКОВОЙ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ПРИНАДЛЕЖНОСТИ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ОТНОШЕНИЯ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К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РЕЛИГИИ</w:t>
      </w:r>
      <w:r>
        <w:rPr>
          <w:b w:val="1"/>
          <w:color w:val="000000"/>
          <w:sz w:val="18"/>
        </w:rPr>
        <w:t>;</w:t>
      </w:r>
    </w:p>
    <w:p w14:paraId="14000000">
      <w:pPr>
        <w:pStyle w:val="Style_1"/>
        <w:rPr>
          <w:b w:val="1"/>
          <w:color w:val="000000"/>
          <w:sz w:val="18"/>
        </w:rPr>
      </w:pPr>
    </w:p>
    <w:p w14:paraId="15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>ПРОПАГАНДА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ПУБЛИЧНОЕ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ДЕМОНСТРИРОВАНИЕ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НАЦИСТСКОЙ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АТРИБУТИКИ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СИМВОЛИКИ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ЛИБО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АТРИБУТИКИ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СИМВОЛИКИ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СХ</w:t>
      </w:r>
      <w:r>
        <w:rPr>
          <w:b w:val="1"/>
          <w:color w:val="000000"/>
          <w:sz w:val="18"/>
        </w:rPr>
        <w:t>ОДНЫХ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br/>
      </w:r>
      <w:r>
        <w:rPr>
          <w:b w:val="1"/>
          <w:color w:val="000000"/>
          <w:sz w:val="18"/>
        </w:rPr>
        <w:t>С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НАЦИСТСКОЙ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АТРИБУТИКОЙ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СИМВОЛИКОЙ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ДО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СТЕПЕНИ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СМЕШЕНИЯ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ЛИБО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ПУБЛИЧНОЕ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ДЕМОНСТРИРОВАНИЕ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АТРИБУТИКИ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СИМВОЛИКИ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ЭКСТРЕМИСТСКИХ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ОРГАНИЗАЦИЙ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ТО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ЕСТЬ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ОБЩЕСТВЕННЫХ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РЕЛИГИОЗНЫХ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ОБЪЕДИНЕНИЙ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ЛИБО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ИНЫХ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ОРГАНИЗАЦИЙ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br/>
      </w:r>
      <w:r>
        <w:rPr>
          <w:b w:val="1"/>
          <w:color w:val="000000"/>
          <w:sz w:val="18"/>
        </w:rPr>
        <w:t>В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ОТНОШЕНИИ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КОТОРЫХ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ОСНОВАНИЯМ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ПРЕДУСМОТРЕННЫМ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ФЕДЕРАЛЬНЫМ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ЗАКОНОМ</w:t>
      </w:r>
      <w:r>
        <w:rPr>
          <w:b w:val="1"/>
          <w:color w:val="000000"/>
          <w:sz w:val="18"/>
        </w:rPr>
        <w:t xml:space="preserve">, </w:t>
      </w:r>
      <w:r>
        <w:rPr>
          <w:b w:val="1"/>
          <w:color w:val="000000"/>
          <w:sz w:val="18"/>
        </w:rPr>
        <w:t>СУДОМ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ПРИНЯТО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ВСТУПИВШЕЕ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В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ЗАКОННУЮ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СИЛУ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РЕ</w:t>
      </w:r>
      <w:r>
        <w:rPr>
          <w:b w:val="1"/>
          <w:color w:val="000000"/>
          <w:sz w:val="18"/>
        </w:rPr>
        <w:t>ШЕНИЕ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ЛИКВИДАЦИИ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ИЛИ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ЗАПРЕТЕ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ДЕЯТЕЛЬНОСТИ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В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СВЯЗИ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br/>
      </w:r>
      <w:r>
        <w:rPr>
          <w:b w:val="1"/>
          <w:color w:val="000000"/>
          <w:sz w:val="18"/>
        </w:rPr>
        <w:t>С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ОСУЩЕСТВЛЕНИЕМ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ЭКСТРЕМИСТСКОЙ</w:t>
      </w:r>
      <w:r>
        <w:rPr>
          <w:b w:val="1"/>
          <w:color w:val="000000"/>
          <w:sz w:val="18"/>
        </w:rPr>
        <w:t xml:space="preserve"> </w:t>
      </w:r>
      <w:r>
        <w:rPr>
          <w:b w:val="1"/>
          <w:color w:val="000000"/>
          <w:sz w:val="18"/>
        </w:rPr>
        <w:t>ДЕЯТЕЛЬНОСТИ</w:t>
      </w:r>
      <w:r>
        <w:rPr>
          <w:b w:val="1"/>
          <w:color w:val="000000"/>
          <w:sz w:val="18"/>
        </w:rPr>
        <w:t>;</w:t>
      </w:r>
    </w:p>
    <w:p w14:paraId="16000000">
      <w:pPr>
        <w:pStyle w:val="Style_1"/>
        <w:rPr>
          <w:b w:val="1"/>
          <w:color w:val="000000"/>
          <w:sz w:val="18"/>
        </w:rPr>
      </w:pPr>
    </w:p>
    <w:p w14:paraId="17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 xml:space="preserve">ОРГАНИЗАЦИЯ И ПОДГОТОВКА УКАЗАННЫХ ДЕЯНИЙ, А ТАКЖЕ ПОДСТРЕКАТЕЛЬСТВО </w:t>
      </w:r>
      <w:r>
        <w:rPr>
          <w:b w:val="1"/>
          <w:color w:val="000000"/>
          <w:sz w:val="18"/>
        </w:rPr>
        <w:br/>
      </w:r>
      <w:r>
        <w:rPr>
          <w:b w:val="1"/>
          <w:color w:val="000000"/>
          <w:sz w:val="18"/>
        </w:rPr>
        <w:t>К ИХ ОСУЩЕСТВЛЕНИЮ</w:t>
      </w:r>
      <w:r>
        <w:rPr>
          <w:b w:val="1"/>
          <w:color w:val="000000"/>
          <w:sz w:val="18"/>
        </w:rPr>
        <w:t>;</w:t>
      </w:r>
    </w:p>
    <w:p w14:paraId="18000000">
      <w:pPr>
        <w:pStyle w:val="Style_1"/>
        <w:rPr>
          <w:b w:val="1"/>
          <w:color w:val="000000"/>
          <w:sz w:val="18"/>
        </w:rPr>
      </w:pPr>
    </w:p>
    <w:p w14:paraId="19000000">
      <w:pPr>
        <w:widowControl w:val="1"/>
        <w:numPr>
          <w:ilvl w:val="0"/>
          <w:numId w:val="1"/>
        </w:numPr>
        <w:ind w:left="851"/>
        <w:jc w:val="both"/>
        <w:rPr>
          <w:b w:val="1"/>
          <w:color w:val="000000"/>
          <w:sz w:val="18"/>
        </w:rPr>
      </w:pPr>
      <w:r>
        <w:rPr>
          <w:b w:val="1"/>
          <w:color w:val="000000"/>
          <w:sz w:val="18"/>
        </w:rPr>
        <w:t xml:space="preserve">ФИНАНСИРОВАНИЕ УКАЗАННЫХ ДЕЯНИЙ ЛИБО ИНОЕ СОДЕЙСТВИЕ В ИХ ОРГАНИЗАЦИИ, ПОДГОТОВКЕ </w:t>
      </w:r>
      <w:r>
        <w:rPr>
          <w:b w:val="1"/>
          <w:color w:val="000000"/>
          <w:sz w:val="18"/>
        </w:rPr>
        <w:br/>
      </w:r>
      <w:r>
        <w:rPr>
          <w:b w:val="1"/>
          <w:color w:val="000000"/>
          <w:sz w:val="18"/>
        </w:rPr>
        <w:t xml:space="preserve">И ОСУЩЕСТВЛЕНИИ, В ТОМ ЧИСЛЕ ПУТЕМ ПРЕДОСТАВЛЕНИЯ </w:t>
      </w:r>
      <w:r>
        <w:rPr>
          <w:b w:val="1"/>
          <w:color w:val="000000"/>
          <w:sz w:val="18"/>
        </w:rPr>
        <w:t>УЧЕБНОЙ, ПОЛИГРАФИЧЕСКОЙ И МАТЕРИА</w:t>
      </w:r>
      <w:r>
        <w:rPr>
          <w:b w:val="1"/>
          <w:color w:val="000000"/>
          <w:sz w:val="18"/>
        </w:rPr>
        <w:t>ЛЬНО-ТЕХНИЧЕСКОЙ БАЗЫ, ТЕЛЕФОННОЙ И ИНЫХ ВИДОВ СВЯЗИ ИЛИ ОКАЗАНИЯ ИНФОРМАЦИОННЫХ УСЛУГ И ДР.</w:t>
      </w:r>
    </w:p>
    <w:p w14:paraId="1A000000">
      <w:pPr>
        <w:widowControl w:val="1"/>
        <w:spacing w:after="120" w:before="120"/>
        <w:ind w:firstLine="397"/>
        <w:jc w:val="center"/>
        <w:rPr>
          <w:b w:val="1"/>
          <w:color w:val="000000"/>
        </w:rPr>
      </w:pPr>
      <w:r>
        <w:rPr>
          <w:b w:val="1"/>
          <w:color w:val="000000"/>
        </w:rPr>
        <w:t>Тактика телефонных мошенников</w:t>
      </w:r>
    </w:p>
    <w:p w14:paraId="1B000000">
      <w:pPr>
        <w:widowControl w:val="1"/>
        <w:ind w:firstLine="397"/>
        <w:jc w:val="both"/>
        <w:rPr>
          <w:color w:val="000000"/>
        </w:rPr>
      </w:pPr>
      <w:r>
        <w:rPr>
          <w:color w:val="000000"/>
        </w:rPr>
        <w:t xml:space="preserve">Одним из основных механизмов вовлечения человека в </w:t>
      </w:r>
      <w:r>
        <w:rPr>
          <w:color w:val="000000"/>
        </w:rPr>
        <w:t>экстремистскую и террористическую деятельность</w:t>
      </w:r>
      <w:r>
        <w:rPr>
          <w:color w:val="000000"/>
        </w:rPr>
        <w:t>, является контролирование сознания человека, влекущее развитие безнравственных взглядов и принцип</w:t>
      </w:r>
      <w:r>
        <w:rPr>
          <w:color w:val="000000"/>
        </w:rPr>
        <w:t xml:space="preserve">ов экстремистского характера в любом его проявлении. За преступления экстремистского и террористического характера предусмотрена </w:t>
      </w:r>
      <w:r>
        <w:rPr>
          <w:color w:val="000000"/>
        </w:rPr>
        <w:t>уголовная ответственность</w:t>
      </w:r>
      <w:r>
        <w:rPr>
          <w:color w:val="000000"/>
        </w:rPr>
        <w:t xml:space="preserve">, вплоть до </w:t>
      </w:r>
      <w:r>
        <w:rPr>
          <w:color w:val="000000"/>
        </w:rPr>
        <w:t>пожизненного лишения свободы</w:t>
      </w:r>
      <w:r>
        <w:rPr>
          <w:color w:val="000000"/>
        </w:rPr>
        <w:t>.</w:t>
      </w:r>
    </w:p>
    <w:p w14:paraId="1C000000">
      <w:pPr>
        <w:widowControl w:val="1"/>
        <w:ind w:firstLine="397"/>
        <w:jc w:val="both"/>
      </w:pPr>
      <w:r>
        <w:rPr>
          <w:color w:val="000000"/>
        </w:rPr>
        <w:t>Уголовный кодекс Российской Федерации устанавливает ответс</w:t>
      </w:r>
      <w:r>
        <w:rPr>
          <w:color w:val="000000"/>
        </w:rPr>
        <w:t>твенность за публичные призывы к осуществлению экстремистской деятельности (ст. 280 УК РФ).</w:t>
      </w:r>
    </w:p>
    <w:p w14:paraId="1D000000">
      <w:pPr>
        <w:widowControl w:val="1"/>
        <w:ind w:firstLine="397"/>
        <w:jc w:val="both"/>
      </w:pPr>
      <w:r>
        <w:rPr>
          <w:color w:val="000000"/>
        </w:rPr>
        <w:t>Под публичными призывами понимают выраженные в любой форме (н</w:t>
      </w:r>
      <w:r>
        <w:t xml:space="preserve">апример, в устной, письменной, с использованием технических средств) обращения к другим лицам </w:t>
      </w:r>
      <w:r>
        <w:t>с целью побудить их к осуществлению экстремистской деятельности.</w:t>
      </w:r>
    </w:p>
    <w:p w14:paraId="1E000000">
      <w:pPr>
        <w:widowControl w:val="1"/>
        <w:ind w:firstLine="397"/>
        <w:jc w:val="both"/>
      </w:pPr>
      <w:r>
        <w:t xml:space="preserve">Вопрос о публичности призывов разрешается судами с учетом места, способа, обстановки </w:t>
      </w:r>
      <w:r>
        <w:br/>
      </w:r>
      <w:r>
        <w:t>и других обстоятельств дела (обращения к группе людей в общественных местах, на собраниях, митинг</w:t>
      </w:r>
      <w:r>
        <w:t>ах, демонстрациях, распространение листовок, вывешивание плакатов, распространение обращений путем массовой рассылки сообщений абонентам мобильной связи и т.п.).</w:t>
      </w:r>
    </w:p>
    <w:p w14:paraId="1F000000">
      <w:pPr>
        <w:widowControl w:val="1"/>
        <w:ind w:firstLine="397"/>
        <w:jc w:val="both"/>
      </w:pPr>
      <w:r>
        <w:t xml:space="preserve">Преступление считается оконченным </w:t>
      </w:r>
      <w:r>
        <w:br/>
      </w:r>
      <w:r>
        <w:t>с момента публичного провозглашения (распространени</w:t>
      </w:r>
      <w:r>
        <w:t>я) хотя бы одного обращения независимо от того, удалось побудить других граждан к осуществлению экстремистской деятельности или нет.</w:t>
      </w:r>
    </w:p>
    <w:p w14:paraId="20000000">
      <w:pPr>
        <w:widowControl w:val="1"/>
        <w:ind/>
        <w:jc w:val="both"/>
      </w:pPr>
    </w:p>
    <w:sectPr>
      <w:pgSz w:h="16838" w:orient="portrait" w:w="11906"/>
      <w:pgMar w:bottom="397" w:footer="709" w:gutter="0" w:header="709" w:left="397" w:right="397" w:top="397"/>
      <w:cols w:equalWidth="1" w:num="2" w:space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111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83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55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27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99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71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43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15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87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Normal (Web)"/>
    <w:basedOn w:val="Style_2"/>
    <w:link w:val="Style_10_ch"/>
    <w:pPr>
      <w:widowControl w:val="1"/>
      <w:spacing w:afterAutospacing="on" w:beforeAutospacing="on"/>
      <w:ind/>
    </w:pPr>
  </w:style>
  <w:style w:styleId="Style_10_ch" w:type="character">
    <w:name w:val="Normal (Web)"/>
    <w:basedOn w:val="Style_2_ch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link w:val="Style_12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2_ch" w:type="character">
    <w:name w:val="heading 1"/>
    <w:basedOn w:val="Style_2_ch"/>
    <w:link w:val="Style_12"/>
    <w:rPr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rPr>
      <w:rFonts w:ascii="Tahoma" w:hAnsi="Tahoma"/>
      <w:sz w:val="16"/>
    </w:rPr>
  </w:style>
  <w:style w:styleId="Style_18_ch" w:type="character">
    <w:name w:val="Balloon Text"/>
    <w:basedOn w:val="Style_2_ch"/>
    <w:link w:val="Style_18"/>
    <w:rPr>
      <w:rFonts w:ascii="Tahoma" w:hAnsi="Tahoma"/>
      <w:sz w:val="16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Font Style16"/>
    <w:link w:val="Style_22_ch"/>
    <w:rPr>
      <w:rFonts w:ascii="Times New Roman" w:hAnsi="Times New Roman"/>
      <w:sz w:val="26"/>
    </w:rPr>
  </w:style>
  <w:style w:styleId="Style_22_ch" w:type="character">
    <w:name w:val="Font Style16"/>
    <w:link w:val="Style_22"/>
    <w:rPr>
      <w:rFonts w:ascii="Times New Roman" w:hAnsi="Times New Roman"/>
      <w:sz w:val="26"/>
    </w:rPr>
  </w:style>
  <w:style w:styleId="Style_23" w:type="paragraph">
    <w:name w:val="Subtitle"/>
    <w:next w:val="Style_2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2026-02-18T13:13:38Z</dcterms:created>
  <dcterms:modified xsi:type="dcterms:W3CDTF">2026-03-25T13:47:56Z</dcterms:modified>
</cp:coreProperties>
</file>